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B43E" w14:textId="645BB604" w:rsidR="00B3762C" w:rsidRDefault="00B3762C" w:rsidP="00B6152B">
      <w:pPr>
        <w:spacing w:before="0" w:beforeAutospacing="0" w:after="0" w:line="240" w:lineRule="auto"/>
        <w:jc w:val="right"/>
        <w:rPr>
          <w:rFonts w:ascii="David" w:hAnsi="David" w:cs="David"/>
          <w:b/>
          <w:bCs/>
          <w:sz w:val="24"/>
          <w:szCs w:val="24"/>
          <w:rtl/>
        </w:rPr>
      </w:pPr>
      <w:r>
        <w:rPr>
          <w:rFonts w:ascii="David" w:hAnsi="David" w:cs="David" w:hint="eastAsia"/>
          <w:b/>
          <w:bCs/>
          <w:sz w:val="24"/>
          <w:szCs w:val="24"/>
          <w:rtl/>
        </w:rPr>
        <w:t>‏‏</w:t>
      </w:r>
      <w:r w:rsidR="00B6152B">
        <w:rPr>
          <w:rFonts w:ascii="David" w:hAnsi="David" w:cs="David" w:hint="eastAsia"/>
          <w:b/>
          <w:bCs/>
          <w:sz w:val="24"/>
          <w:szCs w:val="24"/>
          <w:rtl/>
        </w:rPr>
        <w:t>‏יום רביעי</w:t>
      </w:r>
      <w:r w:rsidR="00B6152B">
        <w:rPr>
          <w:rFonts w:ascii="David" w:hAnsi="David" w:cs="David"/>
          <w:b/>
          <w:bCs/>
          <w:sz w:val="24"/>
          <w:szCs w:val="24"/>
          <w:rtl/>
        </w:rPr>
        <w:t xml:space="preserve"> י' חשון תשפ"ד</w:t>
      </w:r>
    </w:p>
    <w:p w14:paraId="4EDB0F32" w14:textId="77777777" w:rsidR="00B6152B" w:rsidRDefault="00B3762C" w:rsidP="00B6152B">
      <w:pPr>
        <w:spacing w:before="0" w:beforeAutospacing="0" w:after="0" w:line="240" w:lineRule="auto"/>
        <w:jc w:val="right"/>
        <w:rPr>
          <w:rFonts w:ascii="David" w:hAnsi="David" w:cs="David"/>
          <w:b/>
          <w:bCs/>
          <w:sz w:val="24"/>
          <w:szCs w:val="24"/>
          <w:rtl/>
        </w:rPr>
      </w:pPr>
      <w:r>
        <w:rPr>
          <w:rFonts w:ascii="David" w:hAnsi="David" w:cs="David" w:hint="eastAsia"/>
          <w:b/>
          <w:bCs/>
          <w:sz w:val="24"/>
          <w:szCs w:val="24"/>
          <w:rtl/>
        </w:rPr>
        <w:t>‏</w:t>
      </w:r>
      <w:r w:rsidR="00B6152B">
        <w:rPr>
          <w:rFonts w:ascii="David" w:hAnsi="David" w:cs="David" w:hint="eastAsia"/>
          <w:b/>
          <w:bCs/>
          <w:sz w:val="24"/>
          <w:szCs w:val="24"/>
          <w:rtl/>
        </w:rPr>
        <w:t>‏</w:t>
      </w:r>
      <w:r w:rsidR="00B6152B">
        <w:rPr>
          <w:rFonts w:ascii="David" w:hAnsi="David" w:cs="David"/>
          <w:b/>
          <w:bCs/>
          <w:sz w:val="24"/>
          <w:szCs w:val="24"/>
          <w:rtl/>
        </w:rPr>
        <w:t>25 אוקטובר 2023</w:t>
      </w:r>
    </w:p>
    <w:p w14:paraId="4A9E6207" w14:textId="108ADE38" w:rsidR="00B6152B" w:rsidRDefault="00B6152B" w:rsidP="00B6152B">
      <w:pPr>
        <w:spacing w:before="0" w:beforeAutospacing="0" w:after="0" w:line="240" w:lineRule="auto"/>
        <w:rPr>
          <w:rFonts w:ascii="David" w:hAnsi="David" w:cs="David"/>
          <w:b/>
          <w:bCs/>
          <w:sz w:val="24"/>
          <w:szCs w:val="24"/>
          <w:rtl/>
        </w:rPr>
      </w:pPr>
      <w:r>
        <w:rPr>
          <w:rFonts w:ascii="David" w:hAnsi="David" w:cs="David" w:hint="cs"/>
          <w:b/>
          <w:bCs/>
          <w:sz w:val="24"/>
          <w:szCs w:val="24"/>
          <w:rtl/>
        </w:rPr>
        <w:t>לכבוד</w:t>
      </w:r>
    </w:p>
    <w:p w14:paraId="197AFE4F" w14:textId="44E2C4A2" w:rsidR="00B3762C" w:rsidRPr="00B6152B" w:rsidRDefault="00B3762C" w:rsidP="00B6152B">
      <w:pPr>
        <w:spacing w:before="0" w:beforeAutospacing="0" w:after="0" w:line="240" w:lineRule="auto"/>
        <w:rPr>
          <w:rFonts w:ascii="David" w:hAnsi="David" w:cs="David"/>
          <w:sz w:val="24"/>
          <w:szCs w:val="24"/>
          <w:rtl/>
        </w:rPr>
      </w:pPr>
      <w:r w:rsidRPr="00B6152B">
        <w:rPr>
          <w:rFonts w:ascii="David" w:hAnsi="David" w:cs="David" w:hint="cs"/>
          <w:b/>
          <w:bCs/>
          <w:sz w:val="24"/>
          <w:szCs w:val="24"/>
          <w:rtl/>
        </w:rPr>
        <w:t xml:space="preserve">הגב' </w:t>
      </w:r>
      <w:r w:rsidR="00B6152B">
        <w:rPr>
          <w:rFonts w:ascii="David" w:hAnsi="David" w:cs="David" w:hint="cs"/>
          <w:b/>
          <w:bCs/>
          <w:sz w:val="24"/>
          <w:szCs w:val="24"/>
          <w:rtl/>
        </w:rPr>
        <w:t>דניאל יצחק</w:t>
      </w:r>
    </w:p>
    <w:p w14:paraId="3C104AE1" w14:textId="77777777" w:rsidR="00B3762C" w:rsidRDefault="00B3762C" w:rsidP="0066009F">
      <w:pPr>
        <w:spacing w:before="0" w:beforeAutospacing="0" w:after="0" w:line="240" w:lineRule="auto"/>
        <w:rPr>
          <w:rFonts w:ascii="David" w:hAnsi="David" w:cs="David"/>
          <w:sz w:val="24"/>
          <w:szCs w:val="24"/>
          <w:rtl/>
        </w:rPr>
      </w:pPr>
    </w:p>
    <w:p w14:paraId="39A9AC21" w14:textId="3F48FA75" w:rsidR="00A21CDD" w:rsidRDefault="00A21CDD" w:rsidP="0066009F">
      <w:pPr>
        <w:spacing w:before="0" w:beforeAutospacing="0" w:after="0" w:line="240" w:lineRule="auto"/>
        <w:rPr>
          <w:rFonts w:ascii="David" w:hAnsi="David" w:cs="David"/>
          <w:sz w:val="24"/>
          <w:szCs w:val="24"/>
          <w:rtl/>
        </w:rPr>
      </w:pP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p>
    <w:p w14:paraId="58157454" w14:textId="66AF1B0B" w:rsidR="00B3762C" w:rsidRDefault="00B3762C" w:rsidP="00B6152B">
      <w:pPr>
        <w:spacing w:before="0" w:beforeAutospacing="0" w:after="120" w:line="360" w:lineRule="auto"/>
        <w:jc w:val="center"/>
        <w:rPr>
          <w:rFonts w:ascii="David" w:hAnsi="David" w:cs="David"/>
          <w:sz w:val="32"/>
          <w:szCs w:val="32"/>
          <w:rtl/>
        </w:rPr>
      </w:pPr>
      <w:r w:rsidRPr="001F7AFE">
        <w:rPr>
          <w:rFonts w:ascii="David" w:hAnsi="David" w:cs="David" w:hint="cs"/>
          <w:sz w:val="32"/>
          <w:szCs w:val="32"/>
          <w:rtl/>
        </w:rPr>
        <w:t xml:space="preserve">הנדון: </w:t>
      </w:r>
      <w:r>
        <w:rPr>
          <w:rFonts w:ascii="David" w:hAnsi="David" w:cs="David" w:hint="cs"/>
          <w:b/>
          <w:bCs/>
          <w:sz w:val="32"/>
          <w:szCs w:val="32"/>
          <w:u w:val="single"/>
          <w:rtl/>
        </w:rPr>
        <w:t>מעמד ידועים/ת בציבור</w:t>
      </w:r>
    </w:p>
    <w:p w14:paraId="5AF32003" w14:textId="2C63A08D" w:rsidR="00B3762C" w:rsidRDefault="00B3762C" w:rsidP="0066009F">
      <w:pPr>
        <w:spacing w:before="0" w:beforeAutospacing="0" w:after="120" w:line="360" w:lineRule="auto"/>
        <w:rPr>
          <w:rFonts w:ascii="David" w:hAnsi="David" w:cs="David"/>
          <w:sz w:val="24"/>
          <w:szCs w:val="24"/>
          <w:rtl/>
        </w:rPr>
      </w:pPr>
      <w:r>
        <w:rPr>
          <w:rFonts w:ascii="David" w:hAnsi="David" w:cs="David" w:hint="cs"/>
          <w:sz w:val="24"/>
          <w:szCs w:val="24"/>
          <w:rtl/>
        </w:rPr>
        <w:t>בהמשך לפנייתך בנושא זכויות בני ובנות זוג של אנשי כוחות הביטחון שאינם נשואים, הריני להשיב כלהלן:</w:t>
      </w:r>
    </w:p>
    <w:p w14:paraId="268FC895" w14:textId="77777777" w:rsidR="00B3762C" w:rsidRDefault="00B3762C"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מעמד ידועים בציבור אינו מוגדר בדין. אולם, מעת שבני זוג הוגדרו כידועים בציבור, ניתן להחיל על אותם בני זוג מערכת זכויות וחובות כבני זוג נשואים.</w:t>
      </w:r>
    </w:p>
    <w:p w14:paraId="61CF1048" w14:textId="39F58288" w:rsidR="005305B9" w:rsidRDefault="00B3762C"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 xml:space="preserve">בימי שגרה, זוג המבקש לקבל הכרה ולזכות במעמד ידועים בציבור, נדרש לפנות למוסד לביטוח לאומי ולמלא שאלון לידועים בציבור; במסגרתו ישנו מקום לפרט את מצב היחסים </w:t>
      </w:r>
      <w:r w:rsidR="004A6DA6">
        <w:rPr>
          <w:rFonts w:ascii="David" w:hAnsi="David" w:cs="David" w:hint="cs"/>
          <w:sz w:val="24"/>
          <w:szCs w:val="24"/>
          <w:rtl/>
        </w:rPr>
        <w:t xml:space="preserve"> ולהציג מסמכים תומכים ותיעוד לקיומו של קשר </w:t>
      </w:r>
      <w:r>
        <w:rPr>
          <w:rFonts w:ascii="David" w:hAnsi="David" w:cs="David" w:hint="cs"/>
          <w:sz w:val="24"/>
          <w:szCs w:val="24"/>
          <w:rtl/>
        </w:rPr>
        <w:t xml:space="preserve">(כתובת משותפת, משך הזמן בו מקיימים הצדדים מערכת יחסים, כוונה להינשא, </w:t>
      </w:r>
      <w:r w:rsidR="004A6DA6">
        <w:rPr>
          <w:rFonts w:ascii="David" w:hAnsi="David" w:cs="David" w:hint="cs"/>
          <w:sz w:val="24"/>
          <w:szCs w:val="24"/>
          <w:rtl/>
        </w:rPr>
        <w:t>הסכמי שכירות ו/או הסכם רכישת דירה, תשלומי רשויות משותפים, הסכם זוגיות ו/או הסכם ממון, חשבונות בנק משותפים, אישורים על רכישות משותפות (רכב, ריהוט וכו')).</w:t>
      </w:r>
    </w:p>
    <w:p w14:paraId="143FD698" w14:textId="1011C0F9" w:rsidR="0066009F" w:rsidRPr="0066009F" w:rsidRDefault="0066009F" w:rsidP="0066009F">
      <w:pPr>
        <w:pStyle w:val="a7"/>
        <w:numPr>
          <w:ilvl w:val="0"/>
          <w:numId w:val="2"/>
        </w:numPr>
        <w:spacing w:before="0" w:beforeAutospacing="0" w:after="120" w:line="360" w:lineRule="auto"/>
        <w:rPr>
          <w:rFonts w:ascii="David" w:hAnsi="David" w:cs="David"/>
          <w:sz w:val="24"/>
          <w:szCs w:val="24"/>
        </w:rPr>
      </w:pPr>
      <w:r w:rsidRPr="0066009F">
        <w:rPr>
          <w:rFonts w:ascii="David" w:hAnsi="David" w:cs="David"/>
          <w:sz w:val="24"/>
          <w:szCs w:val="24"/>
          <w:rtl/>
        </w:rPr>
        <w:t>בהינתן העובדה שבישראל ישנם זוגות רבים, אשר מנהלים מערכת יחסים זוגית מבלי להינשא; נקבעו קריטריונים אשר עם קיומם במסגרת הקשר, תקום הכרה בזוג כידועים בציבור- ובהתאם יהיו בני הזוג כשרים לחובות וזכויות כזוג נשוי לכל דבר ועניין.</w:t>
      </w:r>
    </w:p>
    <w:p w14:paraId="34CF5C31" w14:textId="00AFCF75" w:rsidR="0066009F" w:rsidRDefault="0066009F"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 xml:space="preserve">לעיתים נדרשת ההכרה לאחר פטירת אחד מבני הזוג, מקום בו בן הזוג הנותר מבקש לרשת את המנוח (סעיף 55 </w:t>
      </w:r>
      <w:r w:rsidRPr="005B4252">
        <w:rPr>
          <w:rFonts w:ascii="David" w:hAnsi="David" w:cs="David" w:hint="cs"/>
          <w:b/>
          <w:bCs/>
          <w:sz w:val="24"/>
          <w:szCs w:val="24"/>
          <w:rtl/>
        </w:rPr>
        <w:t>לחוק הירושה</w:t>
      </w:r>
      <w:r>
        <w:rPr>
          <w:rFonts w:ascii="David" w:hAnsi="David" w:cs="David" w:hint="cs"/>
          <w:sz w:val="24"/>
          <w:szCs w:val="24"/>
          <w:rtl/>
        </w:rPr>
        <w:t xml:space="preserve">, התשכ"ה-1965) ולעמוד במצב בו הוא זכאי לתגמולים, פיצויים או קצבאות (בין אם מרשויות המדינה ובין אם מתאגידים שונים </w:t>
      </w:r>
      <w:r>
        <w:rPr>
          <w:rFonts w:ascii="David" w:hAnsi="David" w:cs="David"/>
          <w:sz w:val="24"/>
          <w:szCs w:val="24"/>
          <w:rtl/>
        </w:rPr>
        <w:t>–</w:t>
      </w:r>
      <w:r>
        <w:rPr>
          <w:rFonts w:ascii="David" w:hAnsi="David" w:cs="David" w:hint="cs"/>
          <w:sz w:val="24"/>
          <w:szCs w:val="24"/>
          <w:rtl/>
        </w:rPr>
        <w:t xml:space="preserve"> כגון מעסיק המנוח (לעניין פיצוי פיטורין ומיצוי זכויות מעבודה) וחברות ביטוח (לעניין קצבאות שאירים)).</w:t>
      </w:r>
    </w:p>
    <w:p w14:paraId="0ED43D59" w14:textId="244FE5DA" w:rsidR="0066009F" w:rsidRPr="0066009F" w:rsidRDefault="0066009F" w:rsidP="0066009F">
      <w:pPr>
        <w:numPr>
          <w:ilvl w:val="0"/>
          <w:numId w:val="2"/>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ההכרה בקיומו של הקשר הזוגי יכולה להינתן גם בדיעבד ולאחר פטירת בן הזוג.</w:t>
      </w:r>
      <w:r>
        <w:rPr>
          <w:rFonts w:ascii="David" w:hAnsi="David" w:cs="David" w:hint="cs"/>
          <w:kern w:val="2"/>
          <w:sz w:val="24"/>
          <w:szCs w:val="24"/>
          <w:rtl/>
          <w14:ligatures w14:val="standardContextual"/>
        </w:rPr>
        <w:t xml:space="preserve"> </w:t>
      </w:r>
      <w:r w:rsidRPr="0066009F">
        <w:rPr>
          <w:rFonts w:ascii="David" w:hAnsi="David" w:cs="David" w:hint="cs"/>
          <w:kern w:val="2"/>
          <w:sz w:val="24"/>
          <w:szCs w:val="24"/>
          <w:rtl/>
          <w14:ligatures w14:val="standardContextual"/>
        </w:rPr>
        <w:t>על כן בצד קיומה של הכרה בעצם הזכות</w:t>
      </w:r>
      <w:r>
        <w:rPr>
          <w:rFonts w:ascii="David" w:hAnsi="David" w:cs="David" w:hint="cs"/>
          <w:kern w:val="2"/>
          <w:sz w:val="24"/>
          <w:szCs w:val="24"/>
          <w:rtl/>
          <w14:ligatures w14:val="standardContextual"/>
        </w:rPr>
        <w:t xml:space="preserve"> (מצד הרשות)-</w:t>
      </w:r>
      <w:r w:rsidRPr="0066009F">
        <w:rPr>
          <w:rFonts w:ascii="David" w:hAnsi="David" w:cs="David" w:hint="cs"/>
          <w:kern w:val="2"/>
          <w:sz w:val="24"/>
          <w:szCs w:val="24"/>
          <w:rtl/>
          <w14:ligatures w14:val="standardContextual"/>
        </w:rPr>
        <w:t xml:space="preserve"> נדרש הטוען לקיומה לבסס כלפי הרשויות מצב עובדתי המשקף קיומו של קשר זוגי, העונה להגדרת הידועים בציבור.</w:t>
      </w:r>
    </w:p>
    <w:p w14:paraId="7F422CCF" w14:textId="7F1DAB11" w:rsidR="0066009F" w:rsidRPr="0066009F" w:rsidRDefault="0066009F" w:rsidP="0066009F">
      <w:pPr>
        <w:numPr>
          <w:ilvl w:val="0"/>
          <w:numId w:val="2"/>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 xml:space="preserve">ייתכנו מספר דרכים לעשות זאת, כאשר, חשוב לציין </w:t>
      </w:r>
      <w:r w:rsidRPr="0066009F">
        <w:rPr>
          <w:rFonts w:ascii="David" w:hAnsi="David" w:cs="David" w:hint="cs"/>
          <w:b/>
          <w:bCs/>
          <w:kern w:val="2"/>
          <w:sz w:val="24"/>
          <w:szCs w:val="24"/>
          <w:rtl/>
          <w14:ligatures w14:val="standardContextual"/>
        </w:rPr>
        <w:t>שכל מקרה אמור וצריך להיבחן לגופו, נוכח השוני הקיים באופן בו מתנהלות מערכות יחסים, נוכח תפיסה אינדיבידואל</w:t>
      </w:r>
      <w:r w:rsidRPr="0066009F">
        <w:rPr>
          <w:rFonts w:ascii="David" w:hAnsi="David" w:cs="David" w:hint="eastAsia"/>
          <w:b/>
          <w:bCs/>
          <w:kern w:val="2"/>
          <w:sz w:val="24"/>
          <w:szCs w:val="24"/>
          <w:rtl/>
          <w14:ligatures w14:val="standardContextual"/>
        </w:rPr>
        <w:t>ית</w:t>
      </w:r>
      <w:r w:rsidRPr="0066009F">
        <w:rPr>
          <w:rFonts w:ascii="David" w:hAnsi="David" w:cs="David" w:hint="cs"/>
          <w:b/>
          <w:bCs/>
          <w:kern w:val="2"/>
          <w:sz w:val="24"/>
          <w:szCs w:val="24"/>
          <w:rtl/>
          <w14:ligatures w14:val="standardContextual"/>
        </w:rPr>
        <w:t xml:space="preserve"> של הפרט את עצמו ואת מאפייני הקשר</w:t>
      </w:r>
      <w:r w:rsidRPr="0066009F">
        <w:rPr>
          <w:rFonts w:ascii="David" w:hAnsi="David" w:cs="David" w:hint="cs"/>
          <w:kern w:val="2"/>
          <w:sz w:val="24"/>
          <w:szCs w:val="24"/>
          <w:rtl/>
          <w14:ligatures w14:val="standardContextual"/>
        </w:rPr>
        <w:t xml:space="preserve">. תפיסת הקשר הזוגי על ידי המנוח (עמדה סובייקטיבית) נעשית על ידי הצגת </w:t>
      </w:r>
      <w:r>
        <w:rPr>
          <w:rFonts w:ascii="David" w:hAnsi="David" w:cs="David" w:hint="cs"/>
          <w:kern w:val="2"/>
          <w:sz w:val="24"/>
          <w:szCs w:val="24"/>
          <w:rtl/>
          <w14:ligatures w14:val="standardContextual"/>
        </w:rPr>
        <w:t xml:space="preserve">עדויות </w:t>
      </w:r>
      <w:r w:rsidRPr="0066009F">
        <w:rPr>
          <w:rFonts w:ascii="David" w:hAnsi="David" w:cs="David" w:hint="cs"/>
          <w:kern w:val="2"/>
          <w:sz w:val="24"/>
          <w:szCs w:val="24"/>
          <w:rtl/>
          <w14:ligatures w14:val="standardContextual"/>
        </w:rPr>
        <w:t xml:space="preserve"> אובייקטיביות ביחס לאופן בו ראה המנוח את טיב הקשר- האם מדובר בקשר זוגי מבוסס או מערכת יחסים ארעית (האמור רלוונטי בעיקרו לצורך קביעת זכות ירושה).</w:t>
      </w:r>
    </w:p>
    <w:p w14:paraId="28BE0B38" w14:textId="77777777" w:rsidR="0066009F" w:rsidRPr="0066009F" w:rsidRDefault="0066009F" w:rsidP="0066009F">
      <w:pPr>
        <w:numPr>
          <w:ilvl w:val="0"/>
          <w:numId w:val="2"/>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כמו כן, ומקום בו נדרשת הכרה מצד רשות כלשהי בקיומו של מעמד ידועים בציבור- לצורך מימוש זכויות וקבלת מעמד (לדוגמה: משרד הביטחון לצרכי קבלת תגמול. יועץ משפטי לממשלה, לצורך הכרה בהורות שאינה ביולוגית וכו'), נדרש מי שטוען לקיומה של הזכות, להציג ראיות לקיומו של קשר זוגי מבוסס המשקף מערכת יחסים אינטימי</w:t>
      </w:r>
      <w:r w:rsidRPr="0066009F">
        <w:rPr>
          <w:rFonts w:ascii="David" w:hAnsi="David" w:cs="David" w:hint="eastAsia"/>
          <w:kern w:val="2"/>
          <w:sz w:val="24"/>
          <w:szCs w:val="24"/>
          <w:rtl/>
          <w14:ligatures w14:val="standardContextual"/>
        </w:rPr>
        <w:t>ת</w:t>
      </w:r>
      <w:r w:rsidRPr="0066009F">
        <w:rPr>
          <w:rFonts w:ascii="David" w:hAnsi="David" w:cs="David" w:hint="cs"/>
          <w:kern w:val="2"/>
          <w:sz w:val="24"/>
          <w:szCs w:val="24"/>
          <w:rtl/>
          <w14:ligatures w14:val="standardContextual"/>
        </w:rPr>
        <w:t xml:space="preserve"> וקשירת גורל הכולל הימצאות במשק בית משותף כך שכל אחד מבני הזוג עושה כמיטב יכולתו ובהתאם למלוא יכולותי</w:t>
      </w:r>
      <w:r w:rsidRPr="0066009F">
        <w:rPr>
          <w:rFonts w:ascii="David" w:hAnsi="David" w:cs="David" w:hint="eastAsia"/>
          <w:kern w:val="2"/>
          <w:sz w:val="24"/>
          <w:szCs w:val="24"/>
          <w:rtl/>
          <w14:ligatures w14:val="standardContextual"/>
        </w:rPr>
        <w:t>ו</w:t>
      </w:r>
      <w:r w:rsidRPr="0066009F">
        <w:rPr>
          <w:rFonts w:ascii="David" w:hAnsi="David" w:cs="David" w:hint="cs"/>
          <w:kern w:val="2"/>
          <w:sz w:val="24"/>
          <w:szCs w:val="24"/>
          <w:rtl/>
          <w14:ligatures w14:val="standardContextual"/>
        </w:rPr>
        <w:t xml:space="preserve"> (הכלכלית, מקצועית) בעבור התא המשפחתי.</w:t>
      </w:r>
    </w:p>
    <w:p w14:paraId="1DC12D4D" w14:textId="77777777" w:rsidR="0066009F" w:rsidRPr="0066009F" w:rsidRDefault="0066009F" w:rsidP="0066009F">
      <w:pPr>
        <w:numPr>
          <w:ilvl w:val="0"/>
          <w:numId w:val="2"/>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לצורך הוכחת קיומו של משק בית משותף, יהיה מקום להציג מסמכים, ראיות ועדויות, התומכות בהוכחת קיומו של משק בית משותף.</w:t>
      </w:r>
    </w:p>
    <w:p w14:paraId="16F3A12A" w14:textId="77777777" w:rsidR="0066009F" w:rsidRPr="0066009F" w:rsidRDefault="0066009F" w:rsidP="0066009F">
      <w:pPr>
        <w:numPr>
          <w:ilvl w:val="0"/>
          <w:numId w:val="4"/>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 xml:space="preserve">מסמכים וראיות המשקפים ניהול </w:t>
      </w:r>
      <w:r w:rsidRPr="0066009F">
        <w:rPr>
          <w:rFonts w:ascii="David" w:hAnsi="David" w:cs="David" w:hint="cs"/>
          <w:b/>
          <w:bCs/>
          <w:kern w:val="2"/>
          <w:sz w:val="24"/>
          <w:szCs w:val="24"/>
          <w:rtl/>
          <w14:ligatures w14:val="standardContextual"/>
        </w:rPr>
        <w:t>משק בית משותף</w:t>
      </w:r>
      <w:r w:rsidRPr="0066009F">
        <w:rPr>
          <w:rFonts w:ascii="David" w:hAnsi="David" w:cs="David" w:hint="cs"/>
          <w:kern w:val="2"/>
          <w:sz w:val="24"/>
          <w:szCs w:val="24"/>
          <w:rtl/>
          <w14:ligatures w14:val="standardContextual"/>
        </w:rPr>
        <w:t>:</w:t>
      </w:r>
    </w:p>
    <w:p w14:paraId="1B7A98F5" w14:textId="77777777" w:rsidR="0066009F" w:rsidRPr="0066009F" w:rsidRDefault="0066009F" w:rsidP="0066009F">
      <w:pPr>
        <w:numPr>
          <w:ilvl w:val="0"/>
          <w:numId w:val="5"/>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 xml:space="preserve"> הסכמי שכירות ו/או הסכמי רכישת נכסים משותפים (נכסי נדל"ן, רכבים, ריהוט וכו').</w:t>
      </w:r>
    </w:p>
    <w:p w14:paraId="494ABA88" w14:textId="77777777" w:rsidR="0066009F" w:rsidRPr="0066009F" w:rsidRDefault="0066009F" w:rsidP="0066009F">
      <w:pPr>
        <w:numPr>
          <w:ilvl w:val="0"/>
          <w:numId w:val="5"/>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 xml:space="preserve">פוליסות ביטוח </w:t>
      </w:r>
      <w:r w:rsidRPr="0066009F">
        <w:rPr>
          <w:rFonts w:ascii="David" w:hAnsi="David" w:cs="David"/>
          <w:kern w:val="2"/>
          <w:sz w:val="24"/>
          <w:szCs w:val="24"/>
          <w:rtl/>
          <w14:ligatures w14:val="standardContextual"/>
        </w:rPr>
        <w:t>–</w:t>
      </w:r>
      <w:r w:rsidRPr="0066009F">
        <w:rPr>
          <w:rFonts w:ascii="David" w:hAnsi="David" w:cs="David" w:hint="cs"/>
          <w:kern w:val="2"/>
          <w:sz w:val="24"/>
          <w:szCs w:val="24"/>
          <w:rtl/>
          <w14:ligatures w14:val="standardContextual"/>
        </w:rPr>
        <w:t xml:space="preserve"> בהן מופיע בן הזוג כמוטב.</w:t>
      </w:r>
    </w:p>
    <w:p w14:paraId="52E2D0D7" w14:textId="77777777" w:rsidR="0066009F" w:rsidRPr="0066009F" w:rsidRDefault="0066009F" w:rsidP="0066009F">
      <w:pPr>
        <w:numPr>
          <w:ilvl w:val="0"/>
          <w:numId w:val="5"/>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חשבונות בנק משותפים.</w:t>
      </w:r>
    </w:p>
    <w:p w14:paraId="6272B559" w14:textId="77777777" w:rsidR="0066009F" w:rsidRPr="0066009F" w:rsidRDefault="0066009F" w:rsidP="0066009F">
      <w:pPr>
        <w:numPr>
          <w:ilvl w:val="0"/>
          <w:numId w:val="5"/>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הרשאות הדדיות  לחשבונות בנק (יפוי כוח לפעולות בחשבון).</w:t>
      </w:r>
    </w:p>
    <w:p w14:paraId="65A41117" w14:textId="77777777" w:rsidR="0066009F" w:rsidRPr="0066009F" w:rsidRDefault="0066009F" w:rsidP="0066009F">
      <w:pPr>
        <w:numPr>
          <w:ilvl w:val="0"/>
          <w:numId w:val="5"/>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הוראות קבע ו/או תיעוד תשלומים בכרטיסי אשראי.</w:t>
      </w:r>
    </w:p>
    <w:p w14:paraId="62307F90" w14:textId="77777777" w:rsidR="0066009F" w:rsidRPr="0066009F" w:rsidRDefault="0066009F" w:rsidP="0066009F">
      <w:pPr>
        <w:numPr>
          <w:ilvl w:val="0"/>
          <w:numId w:val="5"/>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תשלומי רשויות משותפים.</w:t>
      </w:r>
    </w:p>
    <w:p w14:paraId="799A99D7" w14:textId="77777777" w:rsidR="0066009F" w:rsidRPr="0066009F" w:rsidRDefault="0066009F" w:rsidP="0066009F">
      <w:pPr>
        <w:numPr>
          <w:ilvl w:val="0"/>
          <w:numId w:val="5"/>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הלוואות משותפות.</w:t>
      </w:r>
    </w:p>
    <w:p w14:paraId="3B0CC7D7" w14:textId="77777777" w:rsidR="0066009F" w:rsidRPr="0066009F" w:rsidRDefault="0066009F" w:rsidP="0066009F">
      <w:pPr>
        <w:numPr>
          <w:ilvl w:val="0"/>
          <w:numId w:val="5"/>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תיעוד על צריכה שותפת (דלק, מצרכי מזון וכו')</w:t>
      </w:r>
    </w:p>
    <w:p w14:paraId="745B4AF5" w14:textId="77777777" w:rsidR="0066009F" w:rsidRPr="0066009F" w:rsidRDefault="0066009F" w:rsidP="0066009F">
      <w:pPr>
        <w:numPr>
          <w:ilvl w:val="0"/>
          <w:numId w:val="4"/>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 xml:space="preserve">מסמכים וראיות המשקפים קיום </w:t>
      </w:r>
      <w:r w:rsidRPr="0066009F">
        <w:rPr>
          <w:rFonts w:ascii="David" w:hAnsi="David" w:cs="David" w:hint="cs"/>
          <w:b/>
          <w:bCs/>
          <w:kern w:val="2"/>
          <w:sz w:val="24"/>
          <w:szCs w:val="24"/>
          <w:rtl/>
          <w14:ligatures w14:val="standardContextual"/>
        </w:rPr>
        <w:t>חיי משפחה</w:t>
      </w:r>
      <w:r w:rsidRPr="0066009F">
        <w:rPr>
          <w:rFonts w:ascii="David" w:hAnsi="David" w:cs="David" w:hint="cs"/>
          <w:kern w:val="2"/>
          <w:sz w:val="24"/>
          <w:szCs w:val="24"/>
          <w:rtl/>
          <w14:ligatures w14:val="standardContextual"/>
        </w:rPr>
        <w:t>:</w:t>
      </w:r>
    </w:p>
    <w:p w14:paraId="6D57A09F"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תמונות משותפות.</w:t>
      </w:r>
    </w:p>
    <w:p w14:paraId="55B9EB45"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הסכם ממון.</w:t>
      </w:r>
    </w:p>
    <w:p w14:paraId="5883AB7A"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צוואה.</w:t>
      </w:r>
    </w:p>
    <w:p w14:paraId="4E56595C"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הצעת נישואין.</w:t>
      </w:r>
    </w:p>
    <w:p w14:paraId="61AF09CB"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קיום טקס זוגיות או אירוע סמלי אחר אשר מצביע על כינון קשר זוגי בדומה לנישואין.</w:t>
      </w:r>
    </w:p>
    <w:p w14:paraId="131795C1"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 xml:space="preserve">הורות משותפת. </w:t>
      </w:r>
    </w:p>
    <w:p w14:paraId="0AD8BAE6"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כוונה משותפת להפוך להורים.</w:t>
      </w:r>
    </w:p>
    <w:p w14:paraId="3786BC5B"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צו הורות שניתן בעניינם של הצדדים.</w:t>
      </w:r>
    </w:p>
    <w:p w14:paraId="46F4CEBE"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 xml:space="preserve">התכתבויות (דוא"ל, מסרונים, </w:t>
      </w:r>
      <w:r w:rsidRPr="0066009F">
        <w:rPr>
          <w:rFonts w:ascii="David" w:hAnsi="David" w:cs="David"/>
          <w:kern w:val="2"/>
          <w:sz w:val="24"/>
          <w:szCs w:val="24"/>
          <w14:ligatures w14:val="standardContextual"/>
        </w:rPr>
        <w:t>WhatsApp</w:t>
      </w:r>
      <w:r w:rsidRPr="0066009F">
        <w:rPr>
          <w:rFonts w:ascii="David" w:hAnsi="David" w:cs="David" w:hint="cs"/>
          <w:kern w:val="2"/>
          <w:sz w:val="24"/>
          <w:szCs w:val="24"/>
          <w:rtl/>
          <w14:ligatures w14:val="standardContextual"/>
        </w:rPr>
        <w:t>) בין הצדדים ועם בני משפחה וחברים  (קבוצות משפחתיות וקבוצות חברים).</w:t>
      </w:r>
    </w:p>
    <w:p w14:paraId="38AC2724"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תיעוד בדבר חוויות משותפות (חופשות, בילויים, אירועים וכו').</w:t>
      </w:r>
    </w:p>
    <w:p w14:paraId="3F665AEF" w14:textId="77777777" w:rsidR="0066009F" w:rsidRPr="0066009F" w:rsidRDefault="0066009F" w:rsidP="0066009F">
      <w:pPr>
        <w:numPr>
          <w:ilvl w:val="0"/>
          <w:numId w:val="6"/>
        </w:numPr>
        <w:spacing w:before="0" w:beforeAutospacing="0" w:after="120" w:line="360" w:lineRule="auto"/>
        <w:contextualSpacing/>
        <w:rPr>
          <w:rFonts w:ascii="David" w:hAnsi="David" w:cs="David"/>
          <w:kern w:val="2"/>
          <w:sz w:val="24"/>
          <w:szCs w:val="24"/>
          <w14:ligatures w14:val="standardContextual"/>
        </w:rPr>
      </w:pPr>
      <w:r w:rsidRPr="0066009F">
        <w:rPr>
          <w:rFonts w:ascii="David" w:hAnsi="David" w:cs="David" w:hint="cs"/>
          <w:kern w:val="2"/>
          <w:sz w:val="24"/>
          <w:szCs w:val="24"/>
          <w:rtl/>
          <w14:ligatures w14:val="standardContextual"/>
        </w:rPr>
        <w:t>תיעוד בדבר עזרה וסיוע בין בני הזוג (כלכלי, רפואי וכו').</w:t>
      </w:r>
    </w:p>
    <w:p w14:paraId="6F59C13B" w14:textId="1148A28A" w:rsidR="0066009F" w:rsidRPr="00B6152B" w:rsidRDefault="0066009F" w:rsidP="00B6152B">
      <w:pPr>
        <w:numPr>
          <w:ilvl w:val="0"/>
          <w:numId w:val="2"/>
        </w:numPr>
        <w:spacing w:before="0" w:beforeAutospacing="0" w:after="120" w:line="360" w:lineRule="auto"/>
        <w:contextualSpacing/>
        <w:rPr>
          <w:rFonts w:ascii="David" w:hAnsi="David" w:cs="David"/>
          <w:kern w:val="2"/>
          <w:sz w:val="24"/>
          <w:szCs w:val="24"/>
          <w:rtl/>
          <w14:ligatures w14:val="standardContextual"/>
        </w:rPr>
      </w:pPr>
      <w:r w:rsidRPr="0066009F">
        <w:rPr>
          <w:rFonts w:ascii="David" w:hAnsi="David" w:cs="David" w:hint="cs"/>
          <w:kern w:val="2"/>
          <w:sz w:val="24"/>
          <w:szCs w:val="24"/>
          <w:rtl/>
          <w14:ligatures w14:val="standardContextual"/>
        </w:rPr>
        <w:t xml:space="preserve">בכל הנוגע להיקף העדויות, מומלץ לנסות ולגייס תצהירים, מגורמים שונים אשר יכולים להעיד באופן </w:t>
      </w:r>
      <w:r w:rsidRPr="0066009F">
        <w:rPr>
          <w:rFonts w:ascii="David" w:hAnsi="David" w:cs="David" w:hint="cs"/>
          <w:b/>
          <w:bCs/>
          <w:kern w:val="2"/>
          <w:sz w:val="24"/>
          <w:szCs w:val="24"/>
          <w:rtl/>
          <w14:ligatures w14:val="standardContextual"/>
        </w:rPr>
        <w:t>אובייקטיב</w:t>
      </w:r>
      <w:r w:rsidRPr="0066009F">
        <w:rPr>
          <w:rFonts w:ascii="David" w:hAnsi="David" w:cs="David" w:hint="eastAsia"/>
          <w:b/>
          <w:bCs/>
          <w:kern w:val="2"/>
          <w:sz w:val="24"/>
          <w:szCs w:val="24"/>
          <w:rtl/>
          <w14:ligatures w14:val="standardContextual"/>
        </w:rPr>
        <w:t>י</w:t>
      </w:r>
      <w:r w:rsidRPr="0066009F">
        <w:rPr>
          <w:rFonts w:ascii="David" w:hAnsi="David" w:cs="David" w:hint="cs"/>
          <w:kern w:val="2"/>
          <w:sz w:val="24"/>
          <w:szCs w:val="24"/>
          <w:rtl/>
          <w14:ligatures w14:val="standardContextual"/>
        </w:rPr>
        <w:t xml:space="preserve"> על הלך רוחו של המנוח, ועל ראייתו </w:t>
      </w:r>
      <w:r w:rsidRPr="0066009F">
        <w:rPr>
          <w:rFonts w:ascii="David" w:hAnsi="David" w:cs="David" w:hint="cs"/>
          <w:b/>
          <w:bCs/>
          <w:kern w:val="2"/>
          <w:sz w:val="24"/>
          <w:szCs w:val="24"/>
          <w:rtl/>
          <w14:ligatures w14:val="standardContextual"/>
        </w:rPr>
        <w:t>הסובייקטיבי</w:t>
      </w:r>
      <w:r w:rsidRPr="0066009F">
        <w:rPr>
          <w:rFonts w:ascii="David" w:hAnsi="David" w:cs="David" w:hint="eastAsia"/>
          <w:b/>
          <w:bCs/>
          <w:kern w:val="2"/>
          <w:sz w:val="24"/>
          <w:szCs w:val="24"/>
          <w:rtl/>
          <w14:ligatures w14:val="standardContextual"/>
        </w:rPr>
        <w:t>ת</w:t>
      </w:r>
      <w:r w:rsidRPr="0066009F">
        <w:rPr>
          <w:rFonts w:ascii="David" w:hAnsi="David" w:cs="David" w:hint="cs"/>
          <w:kern w:val="2"/>
          <w:sz w:val="24"/>
          <w:szCs w:val="24"/>
          <w:rtl/>
          <w14:ligatures w14:val="standardContextual"/>
        </w:rPr>
        <w:t xml:space="preserve"> את טיב הקשר (בני משפחה, חברים, קולגות, מעסיקים, נותני שירותים וכו').</w:t>
      </w:r>
    </w:p>
    <w:p w14:paraId="5F2D72C0" w14:textId="3EDDA766" w:rsidR="0066009F" w:rsidRPr="0066009F" w:rsidRDefault="0066009F" w:rsidP="0066009F">
      <w:pPr>
        <w:pStyle w:val="a7"/>
        <w:numPr>
          <w:ilvl w:val="0"/>
          <w:numId w:val="2"/>
        </w:numPr>
        <w:spacing w:before="0" w:beforeAutospacing="0" w:after="120" w:line="360" w:lineRule="auto"/>
        <w:rPr>
          <w:rFonts w:ascii="David" w:hAnsi="David" w:cs="David"/>
          <w:sz w:val="24"/>
          <w:szCs w:val="24"/>
        </w:rPr>
      </w:pPr>
      <w:r w:rsidRPr="0066009F">
        <w:rPr>
          <w:rFonts w:ascii="David" w:hAnsi="David" w:cs="David"/>
          <w:sz w:val="24"/>
          <w:szCs w:val="24"/>
          <w:rtl/>
        </w:rPr>
        <w:t>סיטואציה במסגרתה מתקיים קשר זוגי בין שניים שאינו ממוסד (מכל סיבה שהיא) אין בה לשלול זכאות מכוח החוק לקבלת תגמול ופיצוי מרשויות המדינה, במקרים בהם מדובר בחלל צה"ל</w:t>
      </w:r>
      <w:r w:rsidR="007A1948">
        <w:rPr>
          <w:rFonts w:ascii="David" w:hAnsi="David" w:cs="David" w:hint="cs"/>
          <w:sz w:val="24"/>
          <w:szCs w:val="24"/>
          <w:rtl/>
        </w:rPr>
        <w:t xml:space="preserve"> או </w:t>
      </w:r>
      <w:r w:rsidR="007A1948" w:rsidRPr="007A1948">
        <w:rPr>
          <w:rFonts w:ascii="David" w:hAnsi="David" w:cs="David"/>
          <w:sz w:val="24"/>
          <w:szCs w:val="24"/>
          <w:rtl/>
        </w:rPr>
        <w:t>מי שנרצח בפיגוע איבה.</w:t>
      </w:r>
    </w:p>
    <w:p w14:paraId="4755B9C1" w14:textId="5EA39902" w:rsidR="00B3762C" w:rsidRDefault="004A6DA6"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 xml:space="preserve">בהתאם לאמור באתר צה"ל, </w:t>
      </w:r>
      <w:r w:rsidR="00292837">
        <w:rPr>
          <w:rFonts w:ascii="David" w:hAnsi="David" w:cs="David" w:hint="cs"/>
          <w:sz w:val="24"/>
          <w:szCs w:val="24"/>
          <w:rtl/>
        </w:rPr>
        <w:t xml:space="preserve">קביעת </w:t>
      </w:r>
      <w:r>
        <w:rPr>
          <w:rFonts w:ascii="David" w:hAnsi="David" w:cs="David" w:hint="cs"/>
          <w:sz w:val="24"/>
          <w:szCs w:val="24"/>
          <w:rtl/>
        </w:rPr>
        <w:t>מעמדם של ידועים בציבור הכרת צה"ל, נעשית על סמך קביעת המוסד לביטוח לאומי (בהתאם לקריטריונים שפורטו לעיל); כאשר, העקרונות לקביעת מעמד זוג כידועים בציבור, נעשה על פי המבחנים שצוינו לעיל</w:t>
      </w:r>
      <w:r w:rsidR="005305B9">
        <w:rPr>
          <w:rFonts w:ascii="David" w:hAnsi="David" w:cs="David" w:hint="cs"/>
          <w:sz w:val="24"/>
          <w:szCs w:val="24"/>
          <w:rtl/>
        </w:rPr>
        <w:t>, בעיקרם ישנו מקום להצביע על קיומם של יחסי משפחה וניהול משק בית משותף.</w:t>
      </w:r>
    </w:p>
    <w:p w14:paraId="3A073D36" w14:textId="25FE76DB" w:rsidR="004A6DA6" w:rsidRDefault="004A6DA6"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זכויותיהם וזכאותם של בני</w:t>
      </w:r>
      <w:r w:rsidR="005305B9">
        <w:rPr>
          <w:rFonts w:ascii="David" w:hAnsi="David" w:cs="David" w:hint="cs"/>
          <w:sz w:val="24"/>
          <w:szCs w:val="24"/>
          <w:rtl/>
        </w:rPr>
        <w:t xml:space="preserve"> משפחה (בני זוג, ילדים והורים) אשר מי מקרוביהם נפל חלל, לתגמולים ושיקום; מוסדרת בהוראת חוק משפחות חיילים שנספו במערכה (תגמולים ושיקום), התש"י-1950 (להלן: </w:t>
      </w:r>
      <w:r w:rsidR="005305B9" w:rsidRPr="005305B9">
        <w:rPr>
          <w:rFonts w:ascii="David" w:hAnsi="David" w:cs="David" w:hint="cs"/>
          <w:b/>
          <w:bCs/>
          <w:sz w:val="24"/>
          <w:szCs w:val="24"/>
          <w:rtl/>
        </w:rPr>
        <w:t>"חוק התגמולים"</w:t>
      </w:r>
      <w:r w:rsidR="005305B9">
        <w:rPr>
          <w:rFonts w:ascii="David" w:hAnsi="David" w:cs="David" w:hint="cs"/>
          <w:sz w:val="24"/>
          <w:szCs w:val="24"/>
          <w:rtl/>
        </w:rPr>
        <w:t>).</w:t>
      </w:r>
    </w:p>
    <w:p w14:paraId="78AE3CE5" w14:textId="439C84F2" w:rsidR="005305B9" w:rsidRDefault="005305B9"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 xml:space="preserve">בפסק דין  של בית המשפט העליון משנת </w:t>
      </w:r>
      <w:r>
        <w:rPr>
          <w:rStyle w:val="aa"/>
          <w:rFonts w:ascii="David" w:hAnsi="David" w:cs="David"/>
          <w:sz w:val="24"/>
          <w:szCs w:val="24"/>
          <w:rtl/>
        </w:rPr>
        <w:footnoteReference w:id="1"/>
      </w:r>
      <w:r>
        <w:rPr>
          <w:rFonts w:ascii="David" w:hAnsi="David" w:cs="David" w:hint="cs"/>
          <w:sz w:val="24"/>
          <w:szCs w:val="24"/>
          <w:rtl/>
        </w:rPr>
        <w:t>2008</w:t>
      </w:r>
      <w:bookmarkStart w:id="0" w:name="_Hlk148261191"/>
      <w:r>
        <w:rPr>
          <w:rFonts w:ascii="David" w:hAnsi="David" w:cs="David" w:hint="cs"/>
          <w:sz w:val="24"/>
          <w:szCs w:val="24"/>
          <w:rtl/>
        </w:rPr>
        <w:t xml:space="preserve">, </w:t>
      </w:r>
      <w:r w:rsidR="00E801FE">
        <w:rPr>
          <w:rFonts w:ascii="David" w:hAnsi="David" w:cs="David" w:hint="cs"/>
          <w:sz w:val="24"/>
          <w:szCs w:val="24"/>
          <w:rtl/>
        </w:rPr>
        <w:t>נקבע כי אישה אשר קיימה מערכת יחסים זוגית עם חלל צה"ל מבלי שנישאו, ואשר עמדה במבחן הדין לקיומם של חיי משפחה ומשק בית משותף, תהא זכאית לתגמולים והכרה כידועה בציבור של המנוחה לעניין זכאותה לקבלת תגמולים ממשרד הביטחון- על אף העדר נישואין.</w:t>
      </w:r>
    </w:p>
    <w:p w14:paraId="03132176" w14:textId="77777777" w:rsidR="00A21CDD" w:rsidRDefault="001755E9"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 xml:space="preserve">מכך יוצא כי, בני או בנות זוג אשר איבדו במהלך הלחימה את בן/בת זוגם; אמורים להיות זכאים לתגמול ושיקום בהתאם לקריטריונים שפורטו לעיל; בנסיבות הקיימות, מי שרואה עצמו זכאי לתגמול- </w:t>
      </w:r>
      <w:r w:rsidR="00A21CDD">
        <w:rPr>
          <w:rFonts w:ascii="David" w:hAnsi="David" w:cs="David" w:hint="cs"/>
          <w:sz w:val="24"/>
          <w:szCs w:val="24"/>
          <w:rtl/>
        </w:rPr>
        <w:t xml:space="preserve">נדרש לפנות למחלקת תגמולים במשרד הביטחון; באמצעות טופס בקשה להכרה בזכויות בני משפחה (ר' טופס  הכרה </w:t>
      </w:r>
      <w:r w:rsidR="00A21CDD">
        <w:rPr>
          <w:rFonts w:ascii="David" w:hAnsi="David" w:cs="David"/>
          <w:sz w:val="24"/>
          <w:szCs w:val="24"/>
          <w:rtl/>
        </w:rPr>
        <w:t>–</w:t>
      </w:r>
      <w:r w:rsidR="00A21CDD">
        <w:rPr>
          <w:rFonts w:ascii="David" w:hAnsi="David" w:cs="David" w:hint="cs"/>
          <w:sz w:val="24"/>
          <w:szCs w:val="24"/>
          <w:rtl/>
        </w:rPr>
        <w:t xml:space="preserve"> מסומן נספח 1').</w:t>
      </w:r>
    </w:p>
    <w:p w14:paraId="26F40BAD" w14:textId="0DAF927B" w:rsidR="00A21CDD" w:rsidRDefault="001755E9"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 xml:space="preserve"> </w:t>
      </w:r>
      <w:r w:rsidR="00A21CDD" w:rsidRPr="00A21CDD">
        <w:rPr>
          <w:rFonts w:ascii="David" w:hAnsi="David" w:cs="David" w:hint="cs"/>
          <w:sz w:val="24"/>
          <w:szCs w:val="24"/>
          <w:rtl/>
        </w:rPr>
        <w:t>כמו כן, מצורף נוהל טיפול בבקשה להכרה וקבלת זכויות של אלמנות ויתומים (הוראה מס' 20.02 מיום 21.12.2020</w:t>
      </w:r>
      <w:r w:rsidR="007820F2">
        <w:rPr>
          <w:rFonts w:ascii="David" w:hAnsi="David" w:cs="David" w:hint="cs"/>
          <w:sz w:val="24"/>
          <w:szCs w:val="24"/>
          <w:rtl/>
        </w:rPr>
        <w:t xml:space="preserve"> (מסומן נספח 2')</w:t>
      </w:r>
      <w:r w:rsidR="00A21CDD">
        <w:rPr>
          <w:rFonts w:ascii="David" w:hAnsi="David" w:cs="David" w:hint="cs"/>
          <w:sz w:val="24"/>
          <w:szCs w:val="24"/>
          <w:rtl/>
        </w:rPr>
        <w:t xml:space="preserve">, במסגרתו קיים פירוט בדבר היקף תהליך ההכרה. </w:t>
      </w:r>
    </w:p>
    <w:p w14:paraId="4A8AD710" w14:textId="457F8F2C" w:rsidR="00A21CDD" w:rsidRDefault="00A21CDD"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יובהר כי מקום בו נעשית פניה לקצין התגמולים, אשר מוצא לנכון לדחות בקשת הכרה; נדרש הפונה לפנות לוועדת ערר ולאחר מכן לבית המשפט לצורך מימוש זכאותו.</w:t>
      </w:r>
    </w:p>
    <w:p w14:paraId="39ACE88A" w14:textId="792F2025" w:rsidR="007A1948" w:rsidRDefault="007A1948"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 xml:space="preserve">בכל הנוגע לבן-זוג של חלל פעולות איבה, חלים עקרונות דומים המוסדרים בחוק </w:t>
      </w:r>
      <w:r w:rsidRPr="007A1948">
        <w:rPr>
          <w:rFonts w:ascii="David" w:hAnsi="David" w:cs="David" w:hint="cs"/>
          <w:b/>
          <w:bCs/>
          <w:sz w:val="24"/>
          <w:szCs w:val="24"/>
          <w:rtl/>
        </w:rPr>
        <w:t>התגמולים לנפגעי פעולות איבה</w:t>
      </w:r>
      <w:r>
        <w:rPr>
          <w:rFonts w:ascii="David" w:hAnsi="David" w:cs="David" w:hint="cs"/>
          <w:sz w:val="24"/>
          <w:szCs w:val="24"/>
          <w:rtl/>
        </w:rPr>
        <w:t xml:space="preserve">, תש"ל-1970. </w:t>
      </w:r>
    </w:p>
    <w:p w14:paraId="3F779540" w14:textId="39E16637" w:rsidR="00292837" w:rsidRPr="00292837" w:rsidRDefault="007A1948" w:rsidP="00292837">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ההתנהלות לצורך קבלת התגמול וההכרה</w:t>
      </w:r>
      <w:r w:rsidR="00045AD3">
        <w:rPr>
          <w:rFonts w:ascii="David" w:hAnsi="David" w:cs="David" w:hint="cs"/>
          <w:sz w:val="24"/>
          <w:szCs w:val="24"/>
          <w:rtl/>
        </w:rPr>
        <w:t xml:space="preserve"> הינם אל מול המוסד לביטוח לאומי; לאחר שנקבע כי מדובר בפגיעת איבה (ר' סעיף 10 לחוק)</w:t>
      </w:r>
      <w:r w:rsidR="00292837">
        <w:rPr>
          <w:rFonts w:ascii="David" w:hAnsi="David" w:cs="David" w:hint="cs"/>
          <w:sz w:val="24"/>
          <w:szCs w:val="24"/>
          <w:rtl/>
        </w:rPr>
        <w:t xml:space="preserve">, הפניה למוסד לביטוח לאומי הינה באמצעות </w:t>
      </w:r>
      <w:r w:rsidR="00292837" w:rsidRPr="00292837">
        <w:rPr>
          <w:rFonts w:ascii="David" w:hAnsi="David" w:cs="David" w:hint="cs"/>
          <w:sz w:val="24"/>
          <w:szCs w:val="24"/>
          <w:rtl/>
        </w:rPr>
        <w:t>טופס תביעה המוגש לביטוח לאומי, על ידי בני משפחת ה</w:t>
      </w:r>
      <w:r w:rsidR="00292837">
        <w:rPr>
          <w:rFonts w:ascii="David" w:hAnsi="David" w:cs="David" w:hint="cs"/>
          <w:sz w:val="24"/>
          <w:szCs w:val="24"/>
          <w:rtl/>
        </w:rPr>
        <w:t xml:space="preserve">מנוח- </w:t>
      </w:r>
      <w:r w:rsidR="00292837" w:rsidRPr="00292837">
        <w:rPr>
          <w:rFonts w:ascii="David" w:hAnsi="David" w:cs="David" w:hint="cs"/>
          <w:sz w:val="24"/>
          <w:szCs w:val="24"/>
          <w:rtl/>
        </w:rPr>
        <w:t xml:space="preserve">הורים, בני זוג </w:t>
      </w:r>
      <w:r w:rsidR="00292837">
        <w:rPr>
          <w:rFonts w:ascii="David" w:hAnsi="David" w:cs="David" w:hint="cs"/>
          <w:sz w:val="24"/>
          <w:szCs w:val="24"/>
          <w:rtl/>
        </w:rPr>
        <w:t>ו</w:t>
      </w:r>
      <w:r w:rsidR="00292837" w:rsidRPr="00292837">
        <w:rPr>
          <w:rFonts w:ascii="David" w:hAnsi="David" w:cs="David" w:hint="cs"/>
          <w:sz w:val="24"/>
          <w:szCs w:val="24"/>
          <w:rtl/>
        </w:rPr>
        <w:t>ילדים</w:t>
      </w:r>
      <w:r w:rsidR="00292837">
        <w:rPr>
          <w:rFonts w:ascii="David" w:hAnsi="David" w:cs="David" w:hint="cs"/>
          <w:sz w:val="24"/>
          <w:szCs w:val="24"/>
          <w:rtl/>
        </w:rPr>
        <w:t xml:space="preserve"> (ר' טופס תביעת תגמולים- מסומן נספח </w:t>
      </w:r>
      <w:r w:rsidR="007820F2">
        <w:rPr>
          <w:rFonts w:ascii="David" w:hAnsi="David" w:cs="David" w:hint="cs"/>
          <w:sz w:val="24"/>
          <w:szCs w:val="24"/>
          <w:rtl/>
        </w:rPr>
        <w:t>3</w:t>
      </w:r>
      <w:r w:rsidR="00292837">
        <w:rPr>
          <w:rFonts w:ascii="David" w:hAnsi="David" w:cs="David" w:hint="cs"/>
          <w:sz w:val="24"/>
          <w:szCs w:val="24"/>
          <w:rtl/>
        </w:rPr>
        <w:t>').</w:t>
      </w:r>
    </w:p>
    <w:p w14:paraId="0BAF103B" w14:textId="57838DF7" w:rsidR="00A21CDD" w:rsidRDefault="002C5031" w:rsidP="0066009F">
      <w:pPr>
        <w:pStyle w:val="a7"/>
        <w:numPr>
          <w:ilvl w:val="0"/>
          <w:numId w:val="2"/>
        </w:numPr>
        <w:spacing w:before="0" w:beforeAutospacing="0" w:after="120" w:line="360" w:lineRule="auto"/>
        <w:rPr>
          <w:rFonts w:ascii="David" w:hAnsi="David" w:cs="David"/>
          <w:sz w:val="24"/>
          <w:szCs w:val="24"/>
        </w:rPr>
      </w:pPr>
      <w:r>
        <w:rPr>
          <w:rFonts w:ascii="David" w:hAnsi="David" w:cs="David" w:hint="cs"/>
          <w:sz w:val="24"/>
          <w:szCs w:val="24"/>
          <w:rtl/>
        </w:rPr>
        <w:t>נ</w:t>
      </w:r>
      <w:r w:rsidR="00A21CDD">
        <w:rPr>
          <w:rFonts w:ascii="David" w:hAnsi="David" w:cs="David" w:hint="cs"/>
          <w:sz w:val="24"/>
          <w:szCs w:val="24"/>
          <w:rtl/>
        </w:rPr>
        <w:t xml:space="preserve">בהיר </w:t>
      </w:r>
      <w:r>
        <w:rPr>
          <w:rFonts w:ascii="David" w:hAnsi="David" w:cs="David" w:hint="cs"/>
          <w:sz w:val="24"/>
          <w:szCs w:val="24"/>
          <w:rtl/>
        </w:rPr>
        <w:t>שאין לראות באמור לעיל משום ייעוץ משפטי פרטני, ככל ויתעוררו מקרים פרטניים ישנו מקום לפנות לייעוץ משפטי קונקרטי על פי נסיבות המקרה.</w:t>
      </w:r>
    </w:p>
    <w:p w14:paraId="122EBAF5" w14:textId="77777777" w:rsidR="002C5031" w:rsidRPr="0046430F" w:rsidRDefault="002C5031" w:rsidP="0066009F">
      <w:pPr>
        <w:pStyle w:val="a7"/>
        <w:spacing w:before="0" w:beforeAutospacing="0" w:after="120" w:line="360" w:lineRule="auto"/>
        <w:rPr>
          <w:rFonts w:ascii="David" w:hAnsi="David" w:cs="David"/>
          <w:sz w:val="24"/>
          <w:szCs w:val="24"/>
          <w:rtl/>
        </w:rPr>
      </w:pPr>
    </w:p>
    <w:bookmarkEnd w:id="0"/>
    <w:p w14:paraId="3C1FF433" w14:textId="77777777" w:rsidR="00B3762C" w:rsidRPr="003A7259" w:rsidRDefault="00B3762C" w:rsidP="0066009F">
      <w:pPr>
        <w:spacing w:before="0" w:beforeAutospacing="0" w:after="120" w:line="360" w:lineRule="auto"/>
        <w:ind w:left="5040"/>
        <w:rPr>
          <w:rFonts w:ascii="David" w:hAnsi="David" w:cs="David"/>
          <w:sz w:val="24"/>
          <w:szCs w:val="24"/>
          <w:rtl/>
        </w:rPr>
      </w:pPr>
      <w:r>
        <w:rPr>
          <w:rFonts w:ascii="David" w:hAnsi="David" w:cs="David" w:hint="cs"/>
          <w:sz w:val="24"/>
          <w:szCs w:val="24"/>
          <w:rtl/>
        </w:rPr>
        <w:t xml:space="preserve">          בכבוד רב;</w:t>
      </w:r>
    </w:p>
    <w:p w14:paraId="30E80B97" w14:textId="77777777" w:rsidR="00B3762C" w:rsidRDefault="00B3762C" w:rsidP="0066009F">
      <w:pPr>
        <w:spacing w:before="0" w:beforeAutospacing="0" w:after="0" w:line="240" w:lineRule="auto"/>
        <w:rPr>
          <w:rFonts w:ascii="David" w:hAnsi="David" w:cs="David"/>
          <w:sz w:val="24"/>
          <w:szCs w:val="24"/>
          <w:rtl/>
        </w:rPr>
      </w:pPr>
      <w:r>
        <w:rPr>
          <w:rFonts w:ascii="David" w:hAnsi="David" w:cs="David" w:hint="cs"/>
          <w:sz w:val="24"/>
          <w:szCs w:val="24"/>
          <w:rtl/>
        </w:rPr>
        <w:t xml:space="preserve">                                                                                     עדן נבו, עו"ד        יפתח תייר, עו"ד</w:t>
      </w:r>
    </w:p>
    <w:p w14:paraId="51116922" w14:textId="77777777" w:rsidR="00B3762C" w:rsidRDefault="00B3762C" w:rsidP="0066009F">
      <w:pPr>
        <w:spacing w:before="0" w:beforeAutospacing="0" w:after="0" w:line="240" w:lineRule="auto"/>
        <w:rPr>
          <w:rFonts w:ascii="David" w:hAnsi="David" w:cs="David"/>
          <w:sz w:val="24"/>
          <w:szCs w:val="24"/>
          <w:rtl/>
        </w:rPr>
      </w:pPr>
    </w:p>
    <w:p w14:paraId="23FB2FEB" w14:textId="77777777" w:rsidR="00B3762C" w:rsidRPr="00775A6D" w:rsidRDefault="00B3762C" w:rsidP="0066009F">
      <w:pPr>
        <w:spacing w:before="0" w:beforeAutospacing="0" w:after="0" w:line="240" w:lineRule="auto"/>
        <w:ind w:left="5041"/>
        <w:rPr>
          <w:rFonts w:ascii="David" w:hAnsi="David" w:cs="David"/>
          <w:b/>
          <w:bCs/>
          <w:sz w:val="24"/>
          <w:szCs w:val="24"/>
          <w:rtl/>
        </w:rPr>
      </w:pPr>
      <w:r>
        <w:rPr>
          <w:rFonts w:ascii="David" w:hAnsi="David" w:cs="David" w:hint="cs"/>
          <w:sz w:val="24"/>
          <w:szCs w:val="24"/>
          <w:rtl/>
        </w:rPr>
        <w:t xml:space="preserve"> </w:t>
      </w:r>
      <w:r w:rsidRPr="00775A6D">
        <w:rPr>
          <w:rFonts w:ascii="David" w:hAnsi="David" w:cs="David"/>
          <w:b/>
          <w:bCs/>
          <w:sz w:val="24"/>
          <w:szCs w:val="24"/>
          <w:rtl/>
        </w:rPr>
        <w:t>מחלקה משפטית</w:t>
      </w:r>
    </w:p>
    <w:p w14:paraId="766A19CB" w14:textId="77777777" w:rsidR="00B3762C" w:rsidRPr="00DD5B66" w:rsidRDefault="00B3762C" w:rsidP="0066009F">
      <w:pPr>
        <w:spacing w:before="0" w:beforeAutospacing="0" w:after="0" w:line="240" w:lineRule="auto"/>
        <w:rPr>
          <w:rFonts w:ascii="David" w:hAnsi="David" w:cs="David"/>
          <w:b/>
          <w:bCs/>
          <w:sz w:val="24"/>
          <w:szCs w:val="24"/>
        </w:rPr>
      </w:pPr>
      <w:r>
        <w:rPr>
          <w:rFonts w:ascii="David" w:hAnsi="David" w:cs="David" w:hint="cs"/>
          <w:sz w:val="24"/>
          <w:szCs w:val="24"/>
          <w:rtl/>
        </w:rPr>
        <w:t xml:space="preserve">                                                                                      </w:t>
      </w:r>
      <w:r w:rsidRPr="00DD5B66">
        <w:rPr>
          <w:rFonts w:ascii="David" w:hAnsi="David" w:cs="David"/>
          <w:b/>
          <w:bCs/>
          <w:sz w:val="24"/>
          <w:szCs w:val="24"/>
          <w:rtl/>
        </w:rPr>
        <w:t>האגודה לשמירת זכויות הפרט</w:t>
      </w:r>
    </w:p>
    <w:p w14:paraId="5F6C6F44" w14:textId="77777777" w:rsidR="00B3762C" w:rsidRDefault="00B3762C" w:rsidP="0066009F">
      <w:pPr>
        <w:spacing w:before="0" w:beforeAutospacing="0" w:after="120" w:line="360" w:lineRule="auto"/>
        <w:rPr>
          <w:rFonts w:ascii="David" w:hAnsi="David" w:cs="David"/>
          <w:sz w:val="24"/>
          <w:szCs w:val="24"/>
          <w:rtl/>
        </w:rPr>
      </w:pPr>
    </w:p>
    <w:p w14:paraId="7A39CBC3" w14:textId="77777777" w:rsidR="00E93B6F" w:rsidRDefault="00E93B6F" w:rsidP="0066009F"/>
    <w:sectPr w:rsidR="00E93B6F" w:rsidSect="002D7AFF">
      <w:headerReference w:type="default" r:id="rId8"/>
      <w:footerReference w:type="default" r:id="rId9"/>
      <w:pgSz w:w="11906" w:h="16838"/>
      <w:pgMar w:top="2552" w:right="1797" w:bottom="1440" w:left="1559"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4615" w14:textId="77777777" w:rsidR="00765130" w:rsidRDefault="00765130" w:rsidP="004A6DA6">
      <w:pPr>
        <w:spacing w:before="0" w:after="0" w:line="240" w:lineRule="auto"/>
      </w:pPr>
      <w:r>
        <w:separator/>
      </w:r>
    </w:p>
  </w:endnote>
  <w:endnote w:type="continuationSeparator" w:id="0">
    <w:p w14:paraId="560F4308" w14:textId="77777777" w:rsidR="00765130" w:rsidRDefault="00765130" w:rsidP="004A6D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1F34" w14:textId="77777777" w:rsidR="00744DA7" w:rsidRDefault="00744DA7" w:rsidP="006851C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C71F" w14:textId="77777777" w:rsidR="00765130" w:rsidRDefault="00765130" w:rsidP="004A6DA6">
      <w:pPr>
        <w:spacing w:before="0" w:after="0" w:line="240" w:lineRule="auto"/>
      </w:pPr>
      <w:r>
        <w:separator/>
      </w:r>
    </w:p>
  </w:footnote>
  <w:footnote w:type="continuationSeparator" w:id="0">
    <w:p w14:paraId="3CC2DD2F" w14:textId="77777777" w:rsidR="00765130" w:rsidRDefault="00765130" w:rsidP="004A6DA6">
      <w:pPr>
        <w:spacing w:before="0" w:after="0" w:line="240" w:lineRule="auto"/>
      </w:pPr>
      <w:r>
        <w:continuationSeparator/>
      </w:r>
    </w:p>
  </w:footnote>
  <w:footnote w:id="1">
    <w:p w14:paraId="3862A9B8" w14:textId="3B34A1F8" w:rsidR="005305B9" w:rsidRDefault="005305B9">
      <w:pPr>
        <w:pStyle w:val="a8"/>
        <w:rPr>
          <w:rtl/>
        </w:rPr>
      </w:pPr>
      <w:r>
        <w:rPr>
          <w:rStyle w:val="aa"/>
        </w:rPr>
        <w:footnoteRef/>
      </w:r>
      <w:r w:rsidRPr="00A21CDD">
        <w:rPr>
          <w:rFonts w:ascii="David" w:hAnsi="David" w:cs="David"/>
          <w:rtl/>
        </w:rPr>
        <w:t xml:space="preserve"> רע"א 9755/04 </w:t>
      </w:r>
      <w:r w:rsidRPr="00A21CDD">
        <w:rPr>
          <w:rFonts w:ascii="David" w:hAnsi="David" w:cs="David"/>
          <w:b/>
          <w:bCs/>
          <w:rtl/>
        </w:rPr>
        <w:t>ביטון נ' קצין התגמולים- משרד הביטחון</w:t>
      </w:r>
      <w:r w:rsidRPr="00A21CDD">
        <w:rPr>
          <w:rFonts w:ascii="David" w:hAnsi="David" w:cs="David"/>
          <w:rtl/>
        </w:rPr>
        <w:t xml:space="preserve"> (31.8.2008)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7458" w14:textId="77777777" w:rsidR="00744DA7" w:rsidRDefault="00765130" w:rsidP="00726199">
    <w:pPr>
      <w:pStyle w:val="a3"/>
      <w:tabs>
        <w:tab w:val="clear" w:pos="8306"/>
      </w:tabs>
      <w:rPr>
        <w:rtl/>
      </w:rPr>
    </w:pPr>
    <w:r>
      <w:rPr>
        <w:noProof/>
      </w:rPr>
      <w:drawing>
        <wp:anchor distT="0" distB="0" distL="114300" distR="114300" simplePos="0" relativeHeight="251659264" behindDoc="0" locked="0" layoutInCell="1" allowOverlap="1" wp14:anchorId="19B52E82" wp14:editId="56C5F483">
          <wp:simplePos x="0" y="0"/>
          <wp:positionH relativeFrom="column">
            <wp:posOffset>-1143000</wp:posOffset>
          </wp:positionH>
          <wp:positionV relativeFrom="paragraph">
            <wp:posOffset>-449580</wp:posOffset>
          </wp:positionV>
          <wp:extent cx="7567448" cy="10689021"/>
          <wp:effectExtent l="0" t="0" r="0" b="0"/>
          <wp:wrapNone/>
          <wp:docPr id="14" name="תמונה 14" descr="C:\Users\User-1\Downloads\נייר מכתבים האגוד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נייר מכתבים האגודה.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1182" cy="10694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rtl/>
      </w:rPr>
      <w:softHyphen/>
    </w:r>
    <w:r>
      <w:rPr>
        <w:noProof/>
        <w:rtl/>
      </w:rPr>
      <w:softHyphen/>
    </w:r>
    <w:r>
      <w:rPr>
        <w:rFonts w:hint="cs"/>
        <w:noProof/>
        <w:rtl/>
      </w:rPr>
      <w:softHyphen/>
    </w:r>
    <w:r>
      <w:rPr>
        <w:rFonts w:hint="cs"/>
        <w:noProof/>
        <w:rtl/>
      </w:rPr>
      <w:softHyphen/>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35"/>
    <w:multiLevelType w:val="hybridMultilevel"/>
    <w:tmpl w:val="C286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61F9E"/>
    <w:multiLevelType w:val="hybridMultilevel"/>
    <w:tmpl w:val="0F92A032"/>
    <w:lvl w:ilvl="0" w:tplc="86609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EE6E47"/>
    <w:multiLevelType w:val="hybridMultilevel"/>
    <w:tmpl w:val="9070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70F52"/>
    <w:multiLevelType w:val="hybridMultilevel"/>
    <w:tmpl w:val="F1BC49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F17A22"/>
    <w:multiLevelType w:val="hybridMultilevel"/>
    <w:tmpl w:val="BA980A62"/>
    <w:lvl w:ilvl="0" w:tplc="D8A613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795D2562"/>
    <w:multiLevelType w:val="hybridMultilevel"/>
    <w:tmpl w:val="A78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217598">
    <w:abstractNumId w:val="0"/>
  </w:num>
  <w:num w:numId="2" w16cid:durableId="53700933">
    <w:abstractNumId w:val="2"/>
  </w:num>
  <w:num w:numId="3" w16cid:durableId="82533838">
    <w:abstractNumId w:val="5"/>
  </w:num>
  <w:num w:numId="4" w16cid:durableId="1642996140">
    <w:abstractNumId w:val="3"/>
  </w:num>
  <w:num w:numId="5" w16cid:durableId="1713847339">
    <w:abstractNumId w:val="4"/>
  </w:num>
  <w:num w:numId="6" w16cid:durableId="1804689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E2"/>
    <w:rsid w:val="00045AD3"/>
    <w:rsid w:val="001755E9"/>
    <w:rsid w:val="00292837"/>
    <w:rsid w:val="002C5031"/>
    <w:rsid w:val="00334990"/>
    <w:rsid w:val="00334ADB"/>
    <w:rsid w:val="0046430F"/>
    <w:rsid w:val="00486497"/>
    <w:rsid w:val="004A56E2"/>
    <w:rsid w:val="004A6DA6"/>
    <w:rsid w:val="005305B9"/>
    <w:rsid w:val="0066009F"/>
    <w:rsid w:val="00744DA7"/>
    <w:rsid w:val="00765130"/>
    <w:rsid w:val="007820F2"/>
    <w:rsid w:val="007A1948"/>
    <w:rsid w:val="007E2C6F"/>
    <w:rsid w:val="008C2B96"/>
    <w:rsid w:val="00955D04"/>
    <w:rsid w:val="00A21CDD"/>
    <w:rsid w:val="00B3762C"/>
    <w:rsid w:val="00B6152B"/>
    <w:rsid w:val="00DE618F"/>
    <w:rsid w:val="00E801FE"/>
    <w:rsid w:val="00E93B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3703"/>
  <w15:chartTrackingRefBased/>
  <w15:docId w15:val="{C06578DC-67CA-4C29-B543-B664F09E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62C"/>
    <w:pPr>
      <w:bidi/>
      <w:spacing w:before="100" w:beforeAutospacing="1" w:after="200" w:line="480" w:lineRule="auto"/>
      <w:jc w:val="both"/>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62C"/>
    <w:pPr>
      <w:tabs>
        <w:tab w:val="center" w:pos="4153"/>
        <w:tab w:val="right" w:pos="8306"/>
      </w:tabs>
      <w:spacing w:before="0" w:after="0" w:line="240" w:lineRule="auto"/>
    </w:pPr>
  </w:style>
  <w:style w:type="character" w:customStyle="1" w:styleId="a4">
    <w:name w:val="כותרת עליונה תו"/>
    <w:basedOn w:val="a0"/>
    <w:link w:val="a3"/>
    <w:uiPriority w:val="99"/>
    <w:rsid w:val="00B3762C"/>
    <w:rPr>
      <w:kern w:val="0"/>
      <w14:ligatures w14:val="none"/>
    </w:rPr>
  </w:style>
  <w:style w:type="paragraph" w:styleId="a5">
    <w:name w:val="footer"/>
    <w:basedOn w:val="a"/>
    <w:link w:val="a6"/>
    <w:uiPriority w:val="99"/>
    <w:unhideWhenUsed/>
    <w:rsid w:val="00B3762C"/>
    <w:pPr>
      <w:tabs>
        <w:tab w:val="center" w:pos="4153"/>
        <w:tab w:val="right" w:pos="8306"/>
      </w:tabs>
      <w:spacing w:before="0" w:after="0" w:line="240" w:lineRule="auto"/>
    </w:pPr>
  </w:style>
  <w:style w:type="character" w:customStyle="1" w:styleId="a6">
    <w:name w:val="כותרת תחתונה תו"/>
    <w:basedOn w:val="a0"/>
    <w:link w:val="a5"/>
    <w:uiPriority w:val="99"/>
    <w:rsid w:val="00B3762C"/>
    <w:rPr>
      <w:kern w:val="0"/>
      <w14:ligatures w14:val="none"/>
    </w:rPr>
  </w:style>
  <w:style w:type="paragraph" w:styleId="a7">
    <w:name w:val="List Paragraph"/>
    <w:basedOn w:val="a"/>
    <w:uiPriority w:val="34"/>
    <w:qFormat/>
    <w:rsid w:val="00B3762C"/>
    <w:pPr>
      <w:ind w:left="720"/>
      <w:contextualSpacing/>
    </w:pPr>
  </w:style>
  <w:style w:type="paragraph" w:styleId="a8">
    <w:name w:val="footnote text"/>
    <w:basedOn w:val="a"/>
    <w:link w:val="a9"/>
    <w:uiPriority w:val="99"/>
    <w:semiHidden/>
    <w:unhideWhenUsed/>
    <w:rsid w:val="004A6DA6"/>
    <w:pPr>
      <w:spacing w:before="0" w:after="0" w:line="240" w:lineRule="auto"/>
    </w:pPr>
    <w:rPr>
      <w:sz w:val="20"/>
      <w:szCs w:val="20"/>
    </w:rPr>
  </w:style>
  <w:style w:type="character" w:customStyle="1" w:styleId="a9">
    <w:name w:val="טקסט הערת שוליים תו"/>
    <w:basedOn w:val="a0"/>
    <w:link w:val="a8"/>
    <w:uiPriority w:val="99"/>
    <w:semiHidden/>
    <w:rsid w:val="004A6DA6"/>
    <w:rPr>
      <w:kern w:val="0"/>
      <w:sz w:val="20"/>
      <w:szCs w:val="20"/>
      <w14:ligatures w14:val="none"/>
    </w:rPr>
  </w:style>
  <w:style w:type="character" w:styleId="aa">
    <w:name w:val="footnote reference"/>
    <w:basedOn w:val="a0"/>
    <w:uiPriority w:val="99"/>
    <w:semiHidden/>
    <w:unhideWhenUsed/>
    <w:rsid w:val="004A6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2D530-B8D2-400D-83D8-177494B3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975</Words>
  <Characters>4880</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יפתח תייר</dc:creator>
  <cp:keywords/>
  <dc:description/>
  <cp:lastModifiedBy>יפתח תייר</cp:lastModifiedBy>
  <cp:revision>3</cp:revision>
  <dcterms:created xsi:type="dcterms:W3CDTF">2023-10-25T06:32:00Z</dcterms:created>
  <dcterms:modified xsi:type="dcterms:W3CDTF">2023-10-25T06:35:00Z</dcterms:modified>
</cp:coreProperties>
</file>